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234</w:t>
      </w:r>
    </w:p>
    <w:p>
      <w:r>
        <w:t>Bundesgericht (BGE), 2012-08-17, DE</w:t>
      </w:r>
    </w:p>
    <w:p>
      <w:r>
        <w:rPr>
          <w:b/>
        </w:rPr>
        <w:t xml:space="preserve">Quelle: </w:t>
      </w:r>
      <w:r>
        <w:t>https://mcp.opencaselaw.ch/entscheid/bge_147 V 234</w:t>
      </w:r>
    </w:p>
    <w:p>
      <w:r>
        <w:t>FR: ATF 147 V 234</w:t>
      </w:r>
    </w:p>
    <w:p>
      <w:r>
        <w:t>IT: DTF 147 V 234</w:t>
      </w:r>
    </w:p>
    <w:p>
      <w:pPr>
        <w:pStyle w:val="Heading2"/>
      </w:pPr>
      <w:r>
        <w:t>Regeste</w:t>
      </w:r>
    </w:p>
    <w:p>
      <w:r>
        <w:t>Regeste Art. 4 IVG; Art. 87 Abs. 2 und 3 IVV; Art. 6-8, 17 Abs. 1 und Art. 53 Abs. 2 ATSG; Präxisänderung; Neuanmeldung. Die neue Rechtsprechung gemäss BGE 145 V 215 bildet keinen hinreichenden Anlass, um vom Grundsatz der Nichtanpassung eines formell rechtskräftigen Verwaltungsentscheides an eine geänderte Rechtspraxis abzuweichen und auf die Neuanmeldung einzutreten (E. 6).</w:t>
      </w:r>
    </w:p>
    <w:p>
      <w:pPr>
        <w:pStyle w:val="Heading2"/>
      </w:pPr>
      <w:r>
        <w:t>Erwägungen</w:t>
      </w:r>
    </w:p>
    <w:p>
      <w:r>
        <w:rPr>
          <w:b/>
        </w:rPr>
        <w:t>E. 2</w:t>
      </w:r>
    </w:p>
    <w:p>
      <w:r>
        <w:t>Streitig ist, ob die Vorinstanz zu Recht das Nichteintreten auf die Neuanmeldung des Beschwerdeführers vom 9. Januar 2019 bestätigt hat.</w:t>
      </w:r>
    </w:p>
    <w:p>
      <w:r>
        <w:rPr>
          <w:b/>
        </w:rPr>
        <w:t>E. 2.1</w:t>
      </w:r>
    </w:p>
    <w:p>
      <w:r>
        <w:t>Das kantonale Gericht hat die gesetzlichen Bestimmungen und die von der Rechtsprechung entwickelten Grundsätze über die bei einer Neuanmeldung analog zur Revision anwendbaren Regeln ( Art. 17 Abs. 1 ATSG ; Art. 87 Abs. 2 und 3 IVV [SR 831.201]; BGE 134 V 131 E. 3; BGE 133 V 108 E. 5; BGE 130 V 71 ; BGE 117 V 198 E. 3a) zutreffend dargelegt. Gleiches gilt hinsichtlich der Ausführungen zur Beurteilung der verbliebenen Arbeitsfähigkeit im Rahmen eines strukturierten Beweisverfahrens anhand der sogenannten Standardindikatoren bei psychischen Erkrankungen ( BGE 141 V 281 ; BGE 143 V 409 und 418). Darauf wird verwiesen.</w:t>
      </w:r>
    </w:p>
    <w:p>
      <w:r>
        <w:rPr>
          <w:b/>
        </w:rPr>
        <w:t>E. 2.2</w:t>
      </w:r>
    </w:p>
    <w:p>
      <w:r>
        <w:t>Zu ergänzen bzw. zu wiederholen ist, dass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 BGE 124 V 265 E. 3c; BGE 99 V 28 E. 2; Urteile 8C_608/2018 vom 11. Februar 2019 E. 3.2.1 und 9C_ 620/2017 BGE 147 V 234 S. 236 vom 10. April 2018 E. 2.2), fallen gelassen hat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 Diese neue Rechtsprechung ist auf alle im Zeitpunkt der Praxisänderung noch nicht erledigten Fälle anzuwenden (vgl. Urteil 8C_259/2019 vom 14. Oktober 2019 E. 5.1 mit Hinweis).</w:t>
      </w:r>
    </w:p>
    <w:p>
      <w:r>
        <w:rPr>
          <w:b/>
        </w:rPr>
        <w:t>E. 3</w:t>
      </w:r>
    </w:p>
    <w:p>
      <w:r>
        <w:t>Das kantonale Gericht schloss, der Beschwerdeführer habe im relevanten Vergleichszeitraum seit der Verfügung vom 17. August 2012 keine wesentliche Veränderung seines Gesundheitszustands glaubhaft gemacht. Die neue Rechtsprechung gemäss BGE 145 V 215 , wonach primäre Abhängigkeitssyndrome grundsätzlich einem strukturierten Beweisverfahren nach BGE 141 V 281 zu unterziehen seien, sei zwar auf alle im Zeitpunkt der Praxisänderung noch nicht rechtskräftig erledigten Fälle anzuwenden, bilde aber per se weder unter dem Titel der Wiedererwägung ( Art. 53 Abs. 2 ATSG ) noch unter jenem der Anpassung an eine geänderte Gerichtspraxis ( BGE 135 V 201 ) einen Grund für das Zurückkommen auf rechtskräftig entschiedene Fälle. (...) BGE 147 V 234 S. 237</w:t>
      </w:r>
    </w:p>
    <w:p>
      <w:r>
        <w:rPr>
          <w:b/>
        </w:rPr>
        <w:t>E. 5</w:t>
      </w:r>
    </w:p>
    <w:p>
      <w:r>
        <w:t>In materieller Hinsicht macht der Beschwerdeführer vor Bundesgericht nicht mehr geltend, er habe eine wesentliche Veränderung des Gesundheitszustands glaubhaft gemacht. Weiterungen dazu erübrigen sich. Letztinstanzlich rügt er einzig, die Nichtanwendung der Praxis gemäss BGE 145 V 215 sei nicht vertretbar, weil er so in unzulässiger Weise von IV-Leistungen ausgeschlossen werde; dies verletze das Gleichheitsgebot ( Art. 8 Abs. 1 BV ). Die neue Praxis wirke sich zweifellos zu Gunsten jener Versicherten aus, welche wegen einer Suchterkrankung Invalidenversicherungsleistungen beantragten. So seien diese nicht mehr von vornherein von der Überprüfung ausgeschlossen, sondern es sei in jedem Fall ein strukturiertes Beweisverfahren durchzuführen. Die neue Rechtsprechung sei gemäss dem Urteil 8C_259/2019 vom 14. Oktober 2019 auf alle im Zeitpunkt der Praxisänderung noch nicht erledigten Fälle und folglich auch auf den seinen anzuwenden. Durch die Anwendung der alten Praxis werde er in unzulässiger Weise diskriminiert ( Art. 8 Abs. 2 BV ).</w:t>
      </w:r>
    </w:p>
    <w:p>
      <w:r>
        <w:rPr>
          <w:b/>
        </w:rPr>
        <w:t>E. 5.1</w:t>
      </w:r>
    </w:p>
    <w:p>
      <w:r>
        <w:t>Offensichtlich nicht stichhaltig ist die unter Hinweis auf das Urteil 8C_259/2019 vom 14. Oktober 2019 vorgebrachte Rüge, die Rechtsprechung gemäss BGE 145 V 215 sei schon deshalb auf den vorliegenden Fall anzuwenden, weil dieser im Zeitpunkt der Praxisänderung per 11. Juli 2019 noch nicht erledigt gewesen sei; nicht näher einzugehen ist auch auf die in diesem Zusammenhang gerügte Verletzung des Diskriminierungsverbots. Das Bundesgericht hatte im Urteil 8C_259/2019 die Frage zu beantworten (und bejaht), ob die neue Praxis gemäss BGE 145 V 215 - nachdem dort zuvor auf die Neuanmeldung eingetreten worden war - im Rahmen der materiellen Prüfung zur Anwendung gelangt. Im vorliegenden Fall trat die IV-Stelle indessen in Ermangelung einer glaubhaft gemachten wesentlichen Veränderung des Gesundheitszustands nicht auf die Neuanmeldung ein. Wie von der IV-Stelle vernehmlassend zu Recht geltend gemacht, geht es hier somit nicht darum, ob die neue Praxis im Rahmen einer noch nicht erledigten materiellen Prüfung zu berücksichtigen ist, sondern um die vorgelagerte und im folgenden zu prüfende Frage, ob sie einen Neuanmeldungs- bzw. Revisionsgrund schafft.</w:t>
      </w:r>
    </w:p>
    <w:p>
      <w:r>
        <w:rPr>
          <w:b/>
        </w:rPr>
        <w:t>E. 5.2</w:t>
      </w:r>
    </w:p>
    <w:p>
      <w:r>
        <w:t>Eine geänderte Gerichts- oder Verwaltungspraxis bildet im Prinzip keinen Anlass, in eine laufende, auf einer formell rechtskräftigen Verfügung beruhende Dauerleistung einzugreifen. Sie kann aber ausnahmsweise zur Abänderung einer rechtskräftigen Verfügung BGE 147 V 234 S. 238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 BGE 135 V 201 E. 6.1.1 mit Hinweisen). Die Rechtsprechung durchbricht den Grundsatz, wonach eine Praxisänderung keine Änderung formell rechtskräftiger Verfügungen über eine Dauerleistung rechtfertigt, kaum je in Bezug auf Anpassungen zu Ungunsten der Versicherten. Wo eine derartige Herabsetzung vorgenommen wurde, betonte das Bundesgericht, es handle sich - angesichts des der früheren Praxis zugrunde liegenden sachfremden Kriteriums - um eine Ausnahmesituation, welche eine besondere Lösung erfordere. Zu Gunsten der Versicherten liess das Gericht demgegenüber in einzelnen Fällen eine Anpassung unter weniger strengen Voraussetzungen zu. Letztlich hat eine wertende Abwägung der betroffenen Interessen zu erfolgen ( BGE 141 V 585 E. 5.2; BGE 135 V 201 E. 6.1.2 f.; je mit Hinweisen).</w:t>
      </w:r>
    </w:p>
    <w:p>
      <w:r>
        <w:rPr>
          <w:b/>
        </w:rPr>
        <w:t>E. 5.3</w:t>
      </w:r>
    </w:p>
    <w:p>
      <w:r>
        <w:t>Sowohl die frühere Suchtrechtsprechung (vgl. dazu BGE 145 V 215 E. 4.3) wie auch die frühere Rechtsprechung zu den somatoformen Schmerzstörungen und vergleichbaren psychosomatischen Leiden (vgl. BGE 130 V 352 E. 2.2.3) gründeten auf der Fiktion bzw. auf der Vermutung, die Sucht bzw. das psychosomatische Leiden und seine Folgen seien mit einer zumutbaren Willensanstrengung überwindbar. In Bezug auf die mit BGE 141 V 281 geänderte Rechtsprechung zu den somatoformen Schmerzstörungen und äquivalenten Beschwerdebildern verneinte das Bundesgericht einen Neuanmeldungs- oder einen Revisionsgrund ( BGE 141 V 585 E. 5.2 und 5.3). Wie die IV-Stelle zu Recht geltend macht, ist die vorliegende Sachlage grundsätzlich vergleichbar mit der BGE 141 V 585 zugrunde gelegenen. Immerhin unterscheiden sich die Konstellationen aber wie folgt: Das Bundesgericht verneinte einen Neuanmeldungs- bzw. einen Revisionsgrund in BGE 141 V 585 unter anderem mit der Begründung, ein Leistungsanspruch habe auch nach BGE 147 V 234 S. 239 alter Rechtsprechung sowohl bejaht (wenn auch nur ausnahmsweise bei Vorliegen gewisser Morbiditätskriterien; vgl. BGE 130 V 352 E. 2.2.3) wie auch verneint werden können. Mit BGE 141 V 281 habe bloss das Beweisverfahren geändert, ohne dass die Aussicht auf Rentenleistungen a priori gestiegen sei ( BGE 141 V 585 E. 5.3). Wie der Beschwerdeführer richtig einwendet, schafft die Praxisänderung von BGE 145 V 215 demgegenüber überhaupt erst die Möglichkeit, aufgrund eines reinen Suchtgeschehens in den Genuss von Rentenleistungen der Invalidenversicherung zu gelangen. Dies war nach früherer Suchtrechtsprechung zum vornherein ausgeschlossen. Ob und inwiefern sich diese Praxisänderung letztlich zu Gunsten der Versicherten auswirkt, braucht hier nicht geklärt zu werden (vgl. dazu auch SVR 2020 IV Nr. 33 S. 115, 8C_541/2019 E. 5.1). Unabhängig davon kann der Beschwerdeführer aus dem blossen Verweis auf eine allfällige Besserstellung durch die neue Praxis nichts zu seinen Gunsten ableiten. Der dargelegte Grundsatz, dass eine Praxisänderung kein Zurückkommen auf rechtskräftig entschiedene Fälle rechtfertigt, gilt sowohl für Anpassungen zu Gunsten wie zu Lasten der Versicherten. Im Rahmen einer wertenden Abwägung der betroffenen Interessen kann freilich dem Umstand Rechnung getragen werden, dass einzelne Gesichtspunkte wie das erweckte Vertrauen bei einer Praxisänderung zu Gunsten einer versicherten Person keine oder nur eine untergeordnete Rolle spielen. Ein Abweichen vom Grundsatz (keine Anpassung wegen einer Änderung der Rechtsprechung) lässt sich damit aber nicht begründen.</w:t>
      </w:r>
    </w:p>
    <w:p>
      <w:r>
        <w:rPr>
          <w:b/>
        </w:rPr>
        <w:t>E. 5.4</w:t>
      </w:r>
    </w:p>
    <w:p>
      <w:r>
        <w:t>Nach dem in E. 5.2 Dargelegten genügt nicht jede - bei einer Praxisänderung gerade in der Natur der Sache liegende - Ungleichbehandlung, um vom Grundsatz der Nichtanpassung einer rechtskräftigen Verfügung an eine geänderte Rechtspraxis abzuweichen. Dies lässt der Beschwerdeführer ausser Acht, wenn er eine ausnahmsweise Anpassung einzig mit dem Hinweis verlangt, er werde durch die Nichtanwendung der Praxis gemäss BGE 145 V 215 von IV-Leistungen ausgeschlossen. Selbst wenn diese neue Praxis - wie regelmässig bei einer bundesgerichtlichen Praxisänderung im Bereich des Sozialversicherungsrechts - allgemeine Verbreitung erfährt, genügt dies noch nicht. Liesse man die allgemeine Verbreitung genügen, würde die Anwendung einer neuen bundesgerichtlichen Praxis auf laufende, rechtskräftig festgelegte Dauerleistungen gerade zur Regel. Diese Konsequenz wäre sachlich nicht gerechtfertigt und entspräche nicht der bisherigen Judikatur, welche durchwegs den BGE 147 V 234 S. 240 Ausnahmecharakter einer derartigen Anpassung betont hat. Um eine solche zu begründen, müssen deshalb zusätzlich zur allgemeinen Verbreitung der neuen Praxis qualifizierende Elemente treten, welche deren Nichtanwendung auf laufende Leistungen unter dem Aspekt der Rechtsgleichheit als stossend erscheinen liessen (vgl. BGE 135 V 201 E. 6.4):</w:t>
      </w:r>
    </w:p>
    <w:p>
      <w:r>
        <w:rPr>
          <w:b/>
        </w:rPr>
        <w:t>E. 5.4.1</w:t>
      </w:r>
    </w:p>
    <w:p>
      <w:r>
        <w:t>Dass die frühere Praxis des Bundesgerichts nur noch auf einige wenige Personen Anwendung findet, so dass diese in stossender Weise diskriminiert würden, macht der Beschwerdeführer zu Recht nicht geltend. Es ist denn auch notorisch, dass in der Schweiz eine Vielzahl an Suchterkrankten leben (allein die Zahl der an einer Substitutionstherapie teilnehmenden Opioidabhängigen belief sich im Jahr 2019 auf über 16'000 Personen; vgl. dazu die im Rahmen des nationalen Dokumentationssystems act-info realisierte Nationale Statistik der Substitutionsbehandlungen mit Opioid-Agonisten - Ergebnisse 2019 unter www.substitution.ch/de/publikationen.html ). Für sämtliche Suchterkrankten galt seinerzeit die Rechtsprechung, dass primäre Abhängigkeitssyndrome bzw. Substanzkonsumstörungen zum vornherein keine invalidenversicherungsrechtlich relevanten Gesundheitsschäden darstellen. Wie die IV-Stelle zu Recht betont, ist von dieser erst kürzlich (im Juli 2019) abgelösten Praxis nach wie vor eine Vielzahl von versicherten Personen auch in teilweise Jahrzehnte zurückliegenden Verfahren betroffen (vgl. zur Entwicklung der Suchtrechtsprechung: BGE 145 V 215 E. 4.1 f.).</w:t>
      </w:r>
    </w:p>
    <w:p>
      <w:r>
        <w:rPr>
          <w:b/>
        </w:rPr>
        <w:t>E. 5.4.2</w:t>
      </w:r>
    </w:p>
    <w:p>
      <w:r>
        <w:t>Entgegen den Einwänden in der Beschwerde ist das Festhalten an der ursprünglichen Verfügung vom 17. August 2012 aus der Sicht der neuen Rechtsprechung auch nicht schlechterdings nicht vertretbar. So beruhte die abgelöste Suchtrechtsprechung wohl auf einer Fiktion der willentlichen Vermeid- bzw. Überwindbarkeit der Sucht ( BGE 145 V 215 E. 4.3). Diese Fiktion befreite die Verwaltung aber auch damals nicht davon, im Rahmen der Untersuchungsmaxime von Amtes wegen eine angemessene Sachverhaltsabklärung vorzunehmen und gestützt auf die Ergebnisse materiell über die Sache zu befinden. Dass dies im vorliegenden Fall unterlassen worden wäre, macht der Beschwerdeführer zu Recht nicht geltend. Die mit BGE 145 V 215 geänderte Rechtsprechung führt auch nicht ohne Weiteres zu einem Leistungsanspruch bei Vorliegen eines primären Abhängigkeitssyndroms bzw. einer Substanzkonsumstörung. Vielmehr ist fortan - gleich wie bei allen anderen psychischen Erkrankungen - nach dem strukturierten Beweisverfahren zu BGE 147 V 234 S. 241 ermitteln, ob und gegebenenfalls inwieweit sich ein fachärztlich diagnostiziertes Abhängigkeitssyndrom im Einzelfall auf die Arbeitsfähigkeit der versicherten Person auswirkt. Dabei kann (und könnte auch im Falle des Beschwerdeführers) eine anspruchserhebliche Arbeitsunfähigkeit (weiterhin) verneint werden. Im Ergebnis verhält es sich damit nicht anders als in SVR 2020 IV Nr. 33 S. 115, 8C_541/2019 E. 5.1 betreffend leichte bis mittelgradige depressive Störungen. Auch solche galten nach mittlerweile aufgegebener Rechtsprechung grundsätzlich als nicht invalidisierend, weil im Allgemeinen therapeutisch gut angehbar ( BGE 143 V 409 E. 4.1 mit Hinweisen). Diesbezüglich verneinte das Bundesgericht mit Blick auf die mit BGE 143 V 409 und 418 geänderte Rechtsprechung Umstände, welche eine Ausnahme vom Grundsatz der Nichtanpassung eines formell rechtskräftigen Verwaltungsentscheids an eine geänderte Rechtspraxis rechtfertigten. Betroffene Interessen, welche im Rahmen einer Interessenabwägung für den vorliegenden Fall den gegenteiligen Schluss rechtfertigten, vermag der Beschwerdeführer nicht zu nennen und sind auch nicht ersichtlich.</w:t>
      </w:r>
    </w:p>
    <w:p>
      <w:r>
        <w:rPr>
          <w:b/>
        </w:rPr>
        <w:t>E. 5.5</w:t>
      </w:r>
    </w:p>
    <w:p>
      <w:r>
        <w:t>Eine Ausnahme vom Grundsatz der Nichtanpassung eines formell rechtskräftigen Verwaltungsentscheids an eine geänderte Rechtsprechung ist schliesslich auch mit Blick auf die grundsätzlich geringe Zeitbeständigkeit des nach früherer Rechtspraxis formell rechtskräftig beurteilten Gesundheitszustands nicht angezeigt. Denn sowohl in Bezug auf die Befunde als auch hinsichtlich der Arbeitsunfähigkeit ist der Eintritt von Veränderungen der tatsächlichen Verhältnisse im Laufe der Zeit naturgemäss wahrscheinlich und im Rahmen eines (weiteren) Neuanmeldungsgesuchs vergleichsweise einfach glaubhaft zu machen (vgl. SVR 2020 IV Nr. 33 S. 115, 8C_541/2019 E. 5.3 mit Hinweisen). Dies etwa im Gegensatz zu der Sachlage in BGE 121 V 157 , wo - bei Vorliegen einer "krassen Ungleichbehandlung" - eine Revision auf absehbare Zeit hinaus nicht gegeben war (vgl. dortige E. 4c).</w:t>
      </w:r>
    </w:p>
    <w:p>
      <w:r>
        <w:rPr>
          <w:b/>
        </w:rPr>
        <w:t>E. 6</w:t>
      </w:r>
    </w:p>
    <w:p>
      <w:r>
        <w:t>Zusammenfassend ergibt sich, dass die Rechtsprechung gemäss BGE 145 V 215 (wie schon jene von BGE 141 V 281 und jene von BGE 143 V 409 und 418) keinen hinreichenden Anlass bildet, um vom Grundsatz der Nichtanpassung eines formell rechtskräftigen Verwaltungsentscheides an eine geänderte Rechtspraxis abzuweichen und auf die Neuanmeldung vom 9. Januar 2019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